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Normal.0"/>
        <w:suppressAutoHyphens w:val="1"/>
        <w:spacing w:before="0" w:after="281" w:line="240" w:lineRule="auto"/>
        <w:rPr>
          <w:rFonts w:ascii="Calibri" w:cs="Calibri" w:hAnsi="Calibri" w:eastAsia="Calibri"/>
          <w:b w:val="1"/>
          <w:bCs w:val="1"/>
          <w:sz w:val="28"/>
          <w:szCs w:val="28"/>
        </w:rPr>
      </w:pPr>
      <w:r>
        <w:rPr>
          <w:rFonts w:ascii="Calibri" w:hAnsi="Calibri"/>
          <w:b w:val="1"/>
          <w:bCs w:val="1"/>
          <w:sz w:val="28"/>
          <w:szCs w:val="28"/>
          <w:rtl w:val="0"/>
          <w:lang w:val="de-DE"/>
        </w:rPr>
        <w:t xml:space="preserve">OCTAPHARMA GMBH </w:t>
      </w:r>
      <w:r>
        <w:rPr>
          <w:rFonts w:ascii="Calibri" w:hAnsi="Calibri" w:hint="default"/>
          <w:b w:val="1"/>
          <w:bCs w:val="1"/>
          <w:sz w:val="28"/>
          <w:szCs w:val="28"/>
          <w:rtl w:val="0"/>
          <w:lang w:val="de-DE"/>
        </w:rPr>
        <w:t xml:space="preserve">– </w:t>
      </w:r>
      <w:r>
        <w:rPr>
          <w:rFonts w:ascii="Calibri" w:hAnsi="Calibri"/>
          <w:b w:val="1"/>
          <w:bCs w:val="1"/>
          <w:sz w:val="28"/>
          <w:szCs w:val="28"/>
          <w:rtl w:val="0"/>
          <w:lang w:val="de-DE"/>
        </w:rPr>
        <w:t>LIEFERANTEN CHAMPION 2024 (PHARMA)</w:t>
      </w:r>
    </w:p>
    <w:p>
      <w:pPr>
        <w:pStyle w:val="Normal.0"/>
        <w:suppressAutoHyphens w:val="1"/>
        <w:spacing w:before="0" w:after="240" w:line="240" w:lineRule="auto"/>
        <w:rPr>
          <w:rFonts w:ascii="Bliss2-Regular" w:cs="Bliss2-Regular" w:hAnsi="Bliss2-Regular" w:eastAsia="Bliss2-Regular"/>
        </w:rPr>
      </w:pPr>
      <w:r>
        <w:rPr>
          <w:rFonts w:ascii="Bliss2-Bold" w:hAnsi="Bliss2-Bold"/>
          <w:rtl w:val="0"/>
          <w:lang w:val="de-DE"/>
        </w:rPr>
        <w:t xml:space="preserve">Octapharma als Lieferanten Champion 2024 ausgezeichnet </w:t>
      </w:r>
      <w:r>
        <w:rPr>
          <w:rFonts w:ascii="Bliss2-Bold" w:hAnsi="Bliss2-Bold" w:hint="default"/>
          <w:rtl w:val="0"/>
          <w:lang w:val="de-DE"/>
        </w:rPr>
        <w:t xml:space="preserve">– </w:t>
      </w:r>
      <w:r>
        <w:rPr>
          <w:rFonts w:ascii="Bliss2-Bold" w:hAnsi="Bliss2-Bold"/>
          <w:rtl w:val="0"/>
          <w:lang w:val="de-DE"/>
        </w:rPr>
        <w:t>Exzellenz in der Kategorie Pharma</w:t>
      </w:r>
    </w:p>
    <w:p>
      <w:pPr>
        <w:pStyle w:val="Normal.0"/>
        <w:suppressAutoHyphens w:val="1"/>
        <w:spacing w:before="0" w:after="240" w:line="240" w:lineRule="auto"/>
        <w:rPr>
          <w:rFonts w:ascii="Bliss2-Regular" w:cs="Bliss2-Regular" w:hAnsi="Bliss2-Regular" w:eastAsia="Bliss2-Regular"/>
        </w:rPr>
      </w:pPr>
      <w:r>
        <w:rPr>
          <w:rFonts w:ascii="Bliss2-Regular" w:hAnsi="Bliss2-Regular"/>
          <w:rtl w:val="0"/>
          <w:lang w:val="de-DE"/>
        </w:rPr>
        <w:t xml:space="preserve">Gelsenkirchen, 17. Juni 2025 </w:t>
      </w:r>
      <w:r>
        <w:rPr>
          <w:rFonts w:ascii="Bliss2-Regular" w:hAnsi="Bliss2-Regular" w:hint="default"/>
          <w:rtl w:val="0"/>
          <w:lang w:val="de-DE"/>
        </w:rPr>
        <w:t xml:space="preserve">– </w:t>
      </w:r>
      <w:r>
        <w:rPr>
          <w:rFonts w:ascii="Bliss2-Regular" w:hAnsi="Bliss2-Regular"/>
          <w:rtl w:val="0"/>
          <w:lang w:val="de-DE"/>
        </w:rPr>
        <w:t xml:space="preserve">Die </w:t>
      </w:r>
      <w:r>
        <w:rPr>
          <w:rFonts w:ascii="Bliss2-Bold" w:hAnsi="Bliss2-Bold"/>
          <w:rtl w:val="0"/>
          <w:lang w:val="de-DE"/>
        </w:rPr>
        <w:t>Octapharma GmbH</w:t>
      </w:r>
      <w:r>
        <w:rPr>
          <w:rFonts w:ascii="Bliss2-Regular" w:hAnsi="Bliss2-Regular"/>
          <w:rtl w:val="0"/>
          <w:lang w:val="de-DE"/>
        </w:rPr>
        <w:t xml:space="preserve"> wurde von clinicpartner mit dem </w:t>
      </w:r>
      <w:r>
        <w:rPr>
          <w:rFonts w:ascii="Bliss2-Bold" w:hAnsi="Bliss2-Bold"/>
          <w:rtl w:val="0"/>
          <w:lang w:val="de-DE"/>
        </w:rPr>
        <w:t>Performance Cup in der Kategorie Pharma</w:t>
      </w:r>
      <w:r>
        <w:rPr>
          <w:rFonts w:ascii="Bliss2-Regular" w:hAnsi="Bliss2-Regular"/>
          <w:rtl w:val="0"/>
          <w:lang w:val="de-DE"/>
        </w:rPr>
        <w:t xml:space="preserve"> ausgezeichnet. Damit w</w:t>
      </w:r>
      <w:r>
        <w:rPr>
          <w:rFonts w:ascii="Bliss2-Regular" w:hAnsi="Bliss2-Regular" w:hint="default"/>
          <w:rtl w:val="0"/>
          <w:lang w:val="de-DE"/>
        </w:rPr>
        <w:t>ü</w:t>
      </w:r>
      <w:r>
        <w:rPr>
          <w:rFonts w:ascii="Bliss2-Regular" w:hAnsi="Bliss2-Regular"/>
          <w:rtl w:val="0"/>
          <w:lang w:val="de-DE"/>
        </w:rPr>
        <w:t>rdigt clinicpartner ein Unternehmen, das sich durch h</w:t>
      </w:r>
      <w:r>
        <w:rPr>
          <w:rFonts w:ascii="Bliss2-Regular" w:hAnsi="Bliss2-Regular" w:hint="default"/>
          <w:rtl w:val="0"/>
          <w:lang w:val="sv-SE"/>
        </w:rPr>
        <w:t>ö</w:t>
      </w:r>
      <w:r>
        <w:rPr>
          <w:rFonts w:ascii="Bliss2-Regular" w:hAnsi="Bliss2-Regular"/>
          <w:rtl w:val="0"/>
          <w:lang w:val="de-DE"/>
        </w:rPr>
        <w:t>chste pharmazeutische Standards, eine verl</w:t>
      </w:r>
      <w:r>
        <w:rPr>
          <w:rFonts w:ascii="Bliss2-Regular" w:hAnsi="Bliss2-Regular" w:hint="default"/>
          <w:rtl w:val="0"/>
          <w:lang w:val="de-DE"/>
        </w:rPr>
        <w:t>ä</w:t>
      </w:r>
      <w:r>
        <w:rPr>
          <w:rFonts w:ascii="Bliss2-Regular" w:hAnsi="Bliss2-Regular"/>
          <w:rtl w:val="0"/>
          <w:lang w:val="de-DE"/>
        </w:rPr>
        <w:t>ssliche Lieferkette sowie durch seinen Service in der Zusammenarbeit mit den Mitgliedsapotheken in besonderer Weise hervorgetan hat.</w:t>
      </w:r>
    </w:p>
    <w:p>
      <w:pPr>
        <w:pStyle w:val="Normal.0"/>
        <w:suppressAutoHyphens w:val="1"/>
        <w:spacing w:before="0" w:after="240" w:line="240" w:lineRule="auto"/>
        <w:rPr>
          <w:rFonts w:ascii="Bliss2-Regular" w:cs="Bliss2-Regular" w:hAnsi="Bliss2-Regular" w:eastAsia="Bliss2-Regular"/>
        </w:rPr>
      </w:pPr>
      <w:r>
        <w:rPr>
          <w:rFonts w:ascii="Bliss2-Regular" w:hAnsi="Bliss2-Regular" w:hint="default"/>
          <w:rtl w:val="0"/>
          <w:lang w:val="de-DE"/>
        </w:rPr>
        <w:t>„</w:t>
      </w:r>
      <w:r>
        <w:rPr>
          <w:rFonts w:ascii="Bliss2-Regular" w:hAnsi="Bliss2-Regular"/>
          <w:rtl w:val="0"/>
          <w:lang w:val="de-DE"/>
        </w:rPr>
        <w:t>Octapharma versteht es, Qualit</w:t>
      </w:r>
      <w:r>
        <w:rPr>
          <w:rFonts w:ascii="Bliss2-Regular" w:hAnsi="Bliss2-Regular" w:hint="default"/>
          <w:rtl w:val="0"/>
          <w:lang w:val="de-DE"/>
        </w:rPr>
        <w:t>ä</w:t>
      </w:r>
      <w:r>
        <w:rPr>
          <w:rFonts w:ascii="Bliss2-Regular" w:hAnsi="Bliss2-Regular"/>
          <w:rtl w:val="0"/>
          <w:lang w:val="de-DE"/>
        </w:rPr>
        <w:t xml:space="preserve">t und Verantwortung miteinander zu verbinden </w:t>
      </w:r>
      <w:r>
        <w:rPr>
          <w:rFonts w:ascii="Bliss2-Regular" w:hAnsi="Bliss2-Regular" w:hint="default"/>
          <w:rtl w:val="0"/>
          <w:lang w:val="de-DE"/>
        </w:rPr>
        <w:t xml:space="preserve">– </w:t>
      </w:r>
      <w:r>
        <w:rPr>
          <w:rFonts w:ascii="Bliss2-Regular" w:hAnsi="Bliss2-Regular"/>
          <w:rtl w:val="0"/>
          <w:lang w:val="de-DE"/>
        </w:rPr>
        <w:t>und das auf einem konstant hohen Niveau. Die partnerschaftliche Zusammenarbeit mit unseren Mitgliedsapotheken ist von gro</w:t>
      </w:r>
      <w:r>
        <w:rPr>
          <w:rFonts w:ascii="Bliss2-Regular" w:hAnsi="Bliss2-Regular" w:hint="default"/>
          <w:rtl w:val="0"/>
          <w:lang w:val="de-DE"/>
        </w:rPr>
        <w:t>ß</w:t>
      </w:r>
      <w:r>
        <w:rPr>
          <w:rFonts w:ascii="Bliss2-Regular" w:hAnsi="Bliss2-Regular"/>
          <w:rtl w:val="0"/>
          <w:lang w:val="de-DE"/>
        </w:rPr>
        <w:t>em Vertrauen gepr</w:t>
      </w:r>
      <w:r>
        <w:rPr>
          <w:rFonts w:ascii="Bliss2-Regular" w:hAnsi="Bliss2-Regular" w:hint="default"/>
          <w:rtl w:val="0"/>
          <w:lang w:val="de-DE"/>
        </w:rPr>
        <w:t>ä</w:t>
      </w:r>
      <w:r>
        <w:rPr>
          <w:rFonts w:ascii="Bliss2-Regular" w:hAnsi="Bliss2-Regular"/>
          <w:rtl w:val="0"/>
          <w:lang w:val="da-DK"/>
        </w:rPr>
        <w:t>gt</w:t>
      </w:r>
      <w:r>
        <w:rPr>
          <w:rFonts w:ascii="Arial Unicode MS" w:hAnsi="Arial Unicode MS" w:hint="default"/>
          <w:rtl w:val="1"/>
          <w:lang w:val="ar-SA" w:bidi="ar-SA"/>
        </w:rPr>
        <w:t>“</w:t>
      </w:r>
      <w:r>
        <w:rPr>
          <w:rFonts w:ascii="Bliss2-Regular" w:hAnsi="Bliss2-Regular"/>
          <w:rtl w:val="0"/>
          <w:lang w:val="de-DE"/>
        </w:rPr>
        <w:t xml:space="preserve">, sagen </w:t>
      </w:r>
      <w:r>
        <w:rPr>
          <w:rFonts w:ascii="Bliss2-Bold" w:hAnsi="Bliss2-Bold"/>
          <w:rtl w:val="0"/>
          <w:lang w:val="de-DE"/>
        </w:rPr>
        <w:t>Barbara Klinke &amp; Olaf Berse, Vorstand clinicpartner eG</w:t>
      </w:r>
      <w:r>
        <w:rPr>
          <w:rFonts w:ascii="Bliss2-Regular" w:hAnsi="Bliss2-Regular"/>
          <w:rtl w:val="0"/>
          <w:lang w:val="de-DE"/>
        </w:rPr>
        <w:t xml:space="preserve">. </w:t>
      </w:r>
      <w:r>
        <w:rPr>
          <w:rFonts w:ascii="Bliss2-Regular" w:hAnsi="Bliss2-Regular" w:hint="default"/>
          <w:rtl w:val="0"/>
          <w:lang w:val="de-DE"/>
        </w:rPr>
        <w:t>„</w:t>
      </w:r>
      <w:r>
        <w:rPr>
          <w:rFonts w:ascii="Bliss2-Regular" w:hAnsi="Bliss2-Regular"/>
          <w:rtl w:val="0"/>
          <w:lang w:val="de-DE"/>
        </w:rPr>
        <w:t>Diese Auszeichnung steht f</w:t>
      </w:r>
      <w:r>
        <w:rPr>
          <w:rFonts w:ascii="Bliss2-Regular" w:hAnsi="Bliss2-Regular" w:hint="default"/>
          <w:rtl w:val="0"/>
          <w:lang w:val="de-DE"/>
        </w:rPr>
        <w:t>ü</w:t>
      </w:r>
      <w:r>
        <w:rPr>
          <w:rFonts w:ascii="Bliss2-Regular" w:hAnsi="Bliss2-Regular"/>
          <w:rtl w:val="0"/>
          <w:lang w:val="de-DE"/>
        </w:rPr>
        <w:t>r Exzellenz, Integrit</w:t>
      </w:r>
      <w:r>
        <w:rPr>
          <w:rFonts w:ascii="Bliss2-Regular" w:hAnsi="Bliss2-Regular" w:hint="default"/>
          <w:rtl w:val="0"/>
          <w:lang w:val="de-DE"/>
        </w:rPr>
        <w:t>ä</w:t>
      </w:r>
      <w:r>
        <w:rPr>
          <w:rFonts w:ascii="Bliss2-Regular" w:hAnsi="Bliss2-Regular"/>
          <w:rtl w:val="0"/>
          <w:lang w:val="de-DE"/>
        </w:rPr>
        <w:t>t und das gemeinsame Ziel, eine sichere Patientenversorgung zu garantieren.</w:t>
      </w:r>
      <w:r>
        <w:rPr>
          <w:rFonts w:ascii="Arial Unicode MS" w:hAnsi="Arial Unicode MS" w:hint="default"/>
          <w:rtl w:val="1"/>
          <w:lang w:val="ar-SA" w:bidi="ar-SA"/>
        </w:rPr>
        <w:t>“</w:t>
      </w:r>
    </w:p>
    <w:p>
      <w:pPr>
        <w:pStyle w:val="Normal.0"/>
        <w:suppressAutoHyphens w:val="1"/>
        <w:spacing w:before="0" w:after="240" w:line="240" w:lineRule="auto"/>
        <w:rPr>
          <w:rFonts w:ascii="Bliss2-Regular" w:cs="Bliss2-Regular" w:hAnsi="Bliss2-Regular" w:eastAsia="Bliss2-Regular"/>
        </w:rPr>
      </w:pPr>
      <w:r>
        <w:rPr>
          <w:rFonts w:ascii="Bliss2-Regular" w:hAnsi="Bliss2-Regular"/>
          <w:rtl w:val="0"/>
          <w:lang w:val="de-DE"/>
        </w:rPr>
        <w:t>Octapharma hat im Jahr 2024 insbesondere durch ihre Reaktionsf</w:t>
      </w:r>
      <w:r>
        <w:rPr>
          <w:rFonts w:ascii="Bliss2-Regular" w:hAnsi="Bliss2-Regular" w:hint="default"/>
          <w:rtl w:val="0"/>
          <w:lang w:val="de-DE"/>
        </w:rPr>
        <w:t>ä</w:t>
      </w:r>
      <w:r>
        <w:rPr>
          <w:rFonts w:ascii="Bliss2-Regular" w:hAnsi="Bliss2-Regular"/>
          <w:rtl w:val="0"/>
          <w:lang w:val="de-DE"/>
        </w:rPr>
        <w:t xml:space="preserve">higkeit, Transparenz in der Kommunikation und eine konsequente Serviceorientierung </w:t>
      </w:r>
      <w:r>
        <w:rPr>
          <w:rFonts w:ascii="Bliss2-Regular" w:hAnsi="Bliss2-Regular" w:hint="default"/>
          <w:rtl w:val="0"/>
          <w:lang w:val="de-DE"/>
        </w:rPr>
        <w:t>ü</w:t>
      </w:r>
      <w:r>
        <w:rPr>
          <w:rFonts w:ascii="Bliss2-Regular" w:hAnsi="Bliss2-Regular"/>
          <w:rtl w:val="0"/>
          <w:lang w:val="de-DE"/>
        </w:rPr>
        <w:t xml:space="preserve">berzeugt </w:t>
      </w:r>
      <w:r>
        <w:rPr>
          <w:rFonts w:ascii="Bliss2-Regular" w:hAnsi="Bliss2-Regular" w:hint="default"/>
          <w:rtl w:val="0"/>
          <w:lang w:val="de-DE"/>
        </w:rPr>
        <w:t xml:space="preserve">– </w:t>
      </w:r>
      <w:r>
        <w:rPr>
          <w:rFonts w:ascii="Bliss2-Regular" w:hAnsi="Bliss2-Regular"/>
          <w:rtl w:val="0"/>
          <w:lang w:val="de-DE"/>
        </w:rPr>
        <w:t>Werte, die im herausfordernden pharmazeutischen Alltag den entscheidenden Unterschied machen. Die Auszeichnung ist ein Ausdruck der Anerkennung durch die Apotheken des clinicpartner-Verbunds.</w:t>
      </w:r>
    </w:p>
    <w:p>
      <w:pPr>
        <w:pStyle w:val="Normal.0"/>
        <w:suppressAutoHyphens w:val="1"/>
        <w:spacing w:before="0" w:after="240" w:line="240" w:lineRule="auto"/>
        <w:rPr>
          <w:rFonts w:ascii="Bliss2-Bold" w:cs="Bliss2-Bold" w:hAnsi="Bliss2-Bold" w:eastAsia="Bliss2-Bold"/>
        </w:rPr>
      </w:pPr>
      <w:r>
        <w:rPr>
          <w:rFonts w:ascii="Bliss2-Bold" w:cs="Bliss2-Bold" w:hAnsi="Bliss2-Bold" w:eastAsia="Bliss2-Bold"/>
        </w:rPr>
        <w:br w:type="textWrapping"/>
      </w:r>
      <w:r>
        <w:rPr>
          <w:rFonts w:ascii="Bliss2-Bold" w:hAnsi="Bliss2-Bold"/>
          <w:rtl w:val="0"/>
          <w:lang w:val="de-DE"/>
        </w:rPr>
        <w:t>Der clinicpartner Performance Cup: Auszeichnung f</w:t>
      </w:r>
      <w:r>
        <w:rPr>
          <w:rFonts w:ascii="Bliss2-Bold" w:hAnsi="Bliss2-Bold" w:hint="default"/>
          <w:rtl w:val="0"/>
          <w:lang w:val="de-DE"/>
        </w:rPr>
        <w:t>ü</w:t>
      </w:r>
      <w:r>
        <w:rPr>
          <w:rFonts w:ascii="Bliss2-Bold" w:hAnsi="Bliss2-Bold"/>
          <w:rtl w:val="0"/>
          <w:lang w:val="de-DE"/>
        </w:rPr>
        <w:t>r herausragende Leistungen</w:t>
      </w:r>
    </w:p>
    <w:p>
      <w:pPr>
        <w:pStyle w:val="Normal.0"/>
        <w:suppressAutoHyphens w:val="1"/>
        <w:spacing w:before="0" w:after="240" w:line="240" w:lineRule="auto"/>
        <w:rPr>
          <w:rFonts w:ascii="Bliss2-Regular" w:cs="Bliss2-Regular" w:hAnsi="Bliss2-Regular" w:eastAsia="Bliss2-Regular"/>
        </w:rPr>
      </w:pPr>
      <w:r>
        <w:rPr>
          <w:rFonts w:ascii="Bliss2-Regular" w:hAnsi="Bliss2-Regular"/>
          <w:rtl w:val="0"/>
          <w:lang w:val="de-DE"/>
        </w:rPr>
        <w:t>Mit dem Performance Cup ehrt clinicpartner ausgew</w:t>
      </w:r>
      <w:r>
        <w:rPr>
          <w:rFonts w:ascii="Bliss2-Regular" w:hAnsi="Bliss2-Regular" w:hint="default"/>
          <w:rtl w:val="0"/>
          <w:lang w:val="de-DE"/>
        </w:rPr>
        <w:t>ä</w:t>
      </w:r>
      <w:r>
        <w:rPr>
          <w:rFonts w:ascii="Bliss2-Regular" w:hAnsi="Bliss2-Regular"/>
          <w:rtl w:val="0"/>
          <w:lang w:val="de-DE"/>
        </w:rPr>
        <w:t>hlte Vertragspartner, die sich durch besondere Qualit</w:t>
      </w:r>
      <w:r>
        <w:rPr>
          <w:rFonts w:ascii="Bliss2-Regular" w:hAnsi="Bliss2-Regular" w:hint="default"/>
          <w:rtl w:val="0"/>
          <w:lang w:val="de-DE"/>
        </w:rPr>
        <w:t>ä</w:t>
      </w:r>
      <w:r>
        <w:rPr>
          <w:rFonts w:ascii="Bliss2-Regular" w:hAnsi="Bliss2-Regular"/>
          <w:rtl w:val="0"/>
          <w:lang w:val="de-DE"/>
        </w:rPr>
        <w:t>t, Verl</w:t>
      </w:r>
      <w:r>
        <w:rPr>
          <w:rFonts w:ascii="Bliss2-Regular" w:hAnsi="Bliss2-Regular" w:hint="default"/>
          <w:rtl w:val="0"/>
          <w:lang w:val="de-DE"/>
        </w:rPr>
        <w:t>ä</w:t>
      </w:r>
      <w:r>
        <w:rPr>
          <w:rFonts w:ascii="Bliss2-Regular" w:hAnsi="Bliss2-Regular"/>
          <w:rtl w:val="0"/>
          <w:lang w:val="de-DE"/>
        </w:rPr>
        <w:t>sslichkeit und Innovationskraft auszeichnen. Die Grundlage bildet eine umfassende Bewertung durch die Mitgliedsh</w:t>
      </w:r>
      <w:r>
        <w:rPr>
          <w:rFonts w:ascii="Bliss2-Regular" w:hAnsi="Bliss2-Regular" w:hint="default"/>
          <w:rtl w:val="0"/>
          <w:lang w:val="de-DE"/>
        </w:rPr>
        <w:t>ä</w:t>
      </w:r>
      <w:r>
        <w:rPr>
          <w:rFonts w:ascii="Bliss2-Regular" w:hAnsi="Bliss2-Regular"/>
          <w:rtl w:val="0"/>
          <w:lang w:val="de-DE"/>
        </w:rPr>
        <w:t xml:space="preserve">user </w:t>
      </w:r>
      <w:r>
        <w:rPr>
          <w:rFonts w:ascii="Bliss2-Regular" w:hAnsi="Bliss2-Regular" w:hint="default"/>
          <w:rtl w:val="0"/>
          <w:lang w:val="de-DE"/>
        </w:rPr>
        <w:t xml:space="preserve">– </w:t>
      </w:r>
      <w:r>
        <w:rPr>
          <w:rFonts w:ascii="Bliss2-Regular" w:hAnsi="Bliss2-Regular"/>
          <w:rtl w:val="0"/>
          <w:lang w:val="de-DE"/>
        </w:rPr>
        <w:t>der Cup steht somit f</w:t>
      </w:r>
      <w:r>
        <w:rPr>
          <w:rFonts w:ascii="Bliss2-Regular" w:hAnsi="Bliss2-Regular" w:hint="default"/>
          <w:rtl w:val="0"/>
          <w:lang w:val="de-DE"/>
        </w:rPr>
        <w:t>ü</w:t>
      </w:r>
      <w:r>
        <w:rPr>
          <w:rFonts w:ascii="Bliss2-Regular" w:hAnsi="Bliss2-Regular"/>
          <w:rtl w:val="0"/>
          <w:lang w:val="de-DE"/>
        </w:rPr>
        <w:t>r gelebte Partnerschaft, exzellenten Service und nachhaltige Zusammenarbeit im Gesundheitswesen.</w:t>
      </w:r>
    </w:p>
    <w:p>
      <w:pPr>
        <w:pStyle w:val="Normal.0"/>
        <w:suppressAutoHyphens w:val="1"/>
        <w:spacing w:before="0" w:after="240" w:line="240" w:lineRule="auto"/>
      </w:pPr>
      <w:r>
        <w:rPr>
          <w:rFonts w:ascii="Bliss2-Regular" w:hAnsi="Bliss2-Regular"/>
          <w:rtl w:val="0"/>
          <w:lang w:val="de-DE"/>
        </w:rPr>
        <w:t>Die feierliche Preisverleihung ist mehr als nur eine Auszeichnung: Sie bietet eine exklusive Plattform, um Best Practices zu teilen, Impulse f</w:t>
      </w:r>
      <w:r>
        <w:rPr>
          <w:rFonts w:ascii="Bliss2-Regular" w:hAnsi="Bliss2-Regular" w:hint="default"/>
          <w:rtl w:val="0"/>
          <w:lang w:val="de-DE"/>
        </w:rPr>
        <w:t>ü</w:t>
      </w:r>
      <w:r>
        <w:rPr>
          <w:rFonts w:ascii="Bliss2-Regular" w:hAnsi="Bliss2-Regular"/>
          <w:rtl w:val="0"/>
          <w:lang w:val="de-DE"/>
        </w:rPr>
        <w:t>r die Zukunft zu setzen und den fachlichen Austausch innerhalb der Branche zu f</w:t>
      </w:r>
      <w:r>
        <w:rPr>
          <w:rFonts w:ascii="Bliss2-Regular" w:hAnsi="Bliss2-Regular" w:hint="default"/>
          <w:rtl w:val="0"/>
          <w:lang w:val="sv-SE"/>
        </w:rPr>
        <w:t>ö</w:t>
      </w:r>
      <w:r>
        <w:rPr>
          <w:rFonts w:ascii="Bliss2-Regular" w:hAnsi="Bliss2-Regular"/>
          <w:rtl w:val="0"/>
          <w:lang w:val="de-DE"/>
        </w:rPr>
        <w:t>rdern. Ein inspirierendes Rahmenprogramm sorgt f</w:t>
      </w:r>
      <w:r>
        <w:rPr>
          <w:rFonts w:ascii="Bliss2-Regular" w:hAnsi="Bliss2-Regular" w:hint="default"/>
          <w:rtl w:val="0"/>
          <w:lang w:val="de-DE"/>
        </w:rPr>
        <w:t>ü</w:t>
      </w:r>
      <w:r>
        <w:rPr>
          <w:rFonts w:ascii="Bliss2-Regular" w:hAnsi="Bliss2-Regular"/>
          <w:rtl w:val="0"/>
          <w:lang w:val="de-DE"/>
        </w:rPr>
        <w:t>r neue Perspektiven und st</w:t>
      </w:r>
      <w:r>
        <w:rPr>
          <w:rFonts w:ascii="Bliss2-Regular" w:hAnsi="Bliss2-Regular" w:hint="default"/>
          <w:rtl w:val="0"/>
          <w:lang w:val="de-DE"/>
        </w:rPr>
        <w:t>ä</w:t>
      </w:r>
      <w:r>
        <w:rPr>
          <w:rFonts w:ascii="Bliss2-Regular" w:hAnsi="Bliss2-Regular"/>
          <w:rtl w:val="0"/>
          <w:lang w:val="de-DE"/>
        </w:rPr>
        <w:t>rkt das Netzwerk von und f</w:t>
      </w:r>
      <w:r>
        <w:rPr>
          <w:rFonts w:ascii="Bliss2-Regular" w:hAnsi="Bliss2-Regular" w:hint="default"/>
          <w:rtl w:val="0"/>
          <w:lang w:val="de-DE"/>
        </w:rPr>
        <w:t>ü</w:t>
      </w:r>
      <w:r>
        <w:rPr>
          <w:rFonts w:ascii="Bliss2-Regular" w:hAnsi="Bliss2-Regular"/>
          <w:rtl w:val="0"/>
          <w:lang w:val="de-DE"/>
        </w:rPr>
        <w:t>r Leistungstr</w:t>
      </w:r>
      <w:r>
        <w:rPr>
          <w:rFonts w:ascii="Bliss2-Regular" w:hAnsi="Bliss2-Regular" w:hint="default"/>
          <w:rtl w:val="0"/>
          <w:lang w:val="de-DE"/>
        </w:rPr>
        <w:t>ä</w:t>
      </w:r>
      <w:r>
        <w:rPr>
          <w:rFonts w:ascii="Bliss2-Regular" w:hAnsi="Bliss2-Regular"/>
          <w:rtl w:val="0"/>
          <w:lang w:val="de-DE"/>
        </w:rPr>
        <w:t>ger im Gesundheitsmarkt.</w:t>
      </w:r>
    </w:p>
    <w:sectPr>
      <w:headerReference w:type="default" r:id="rId4"/>
      <w:footerReference w:type="default" r:id="rId5"/>
      <w:pgSz w:w="11900" w:h="16840" w:orient="portrait"/>
      <w:pgMar w:top="1417" w:right="1417" w:bottom="1417" w:left="1417" w:header="1417" w:footer="1417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  <w:font w:name="Bliss2-Bold">
    <w:charset w:val="00"/>
    <w:family w:val="roman"/>
    <w:pitch w:val="default"/>
  </w:font>
  <w:font w:name="Bliss2-Regular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Kopf- und Fußzeilen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Kopf- und Fußzeilen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trackRevisions/>
  <w:defaultTabStop w:val="720"/>
  <w:autoHyphenation w:val="0"/>
  <w:evenAndOddHeaders w:val="0"/>
  <w:bookFoldPrinting w:val="0"/>
  <w:noLineBreaksAfter w:lang="Deutsch" w:val="‘“(〔[{〈《「『【⦅〘〖«〝︵︷︹︻︽︿﹁﹃﹇﹙﹛﹝｢"/>
  <w:noLineBreaksBefore w:lang="Deutsc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Kopf- und Fußzeilen">
    <w:name w:val="Kopf- und Fußzeilen"/>
    <w:next w:val="Kopf- und Fußzeilen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88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de-DE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